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10/2018.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25  de Janeiro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Substituição dos ordenadores de despesas banco do Brasil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0D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